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中国造血干细胞捐献者资料库贵州省管理中心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（贵州省人体器官与细胞组织捐献管理中心）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考试录用诚信报考承诺书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，自愿参加中国造血干细胞捐献者资料库贵州省管理中心（贵州省人体器官与细胞组织捐献管理中心）20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年公开招聘工作人员考试，报考了专业技术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百分制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折算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已进入资格复审环节。我已仔细阅读《中国造血干细胞捐献者资料库贵州省管理中心（贵州省人体器官与细胞组织捐献管理中心）20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年公开招聘工作人员方案》，清楚并同意有关诚信报考的内容。现承诺如下：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报名时填报的信息真实有效，提供招考方案和招录职位要求的所有材料真实、准确，绝无弄虚作假。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认真对待每一个考录环节，完成相应的程序。若经资格复审合格获得面试资格，在面试、体检、考察、拟录用公示等环节，不无故放弃或中断。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若本人有违反诚信报考承诺的行为，愿意按照《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贵州省事业单位公开招聘操作办法（试行）》和其他相关规定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2023-06-08T09:27:06Z</dcterms:created>
  <dc:creator>TEMP.8I3ETDHKCDV5LM9.137</dc:creator>
  <cp:lastModifiedBy>Administrator</cp:lastModifiedBy>
  <dcterms:modified xsi:type="dcterms:W3CDTF">2023-06-08T09:27:18Z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